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9D" w:rsidRDefault="00F3229D" w:rsidP="00F3229D">
      <w:pPr>
        <w:pStyle w:val="docdata"/>
        <w:spacing w:before="0" w:beforeAutospacing="0" w:after="200" w:afterAutospacing="0"/>
      </w:pPr>
      <w:r>
        <w:rPr>
          <w:rFonts w:ascii="Arial" w:hAnsi="Arial" w:cs="Arial"/>
          <w:b/>
          <w:bCs/>
          <w:color w:val="373737"/>
          <w:sz w:val="23"/>
          <w:szCs w:val="23"/>
        </w:rPr>
        <w:t xml:space="preserve">Thésaurus INRAE : </w:t>
      </w:r>
      <w:r>
        <w:rPr>
          <w:rFonts w:ascii="Arial" w:hAnsi="Arial" w:cs="Arial"/>
          <w:b/>
          <w:bCs/>
          <w:color w:val="373737"/>
          <w:sz w:val="23"/>
          <w:szCs w:val="23"/>
          <w:shd w:val="clear" w:color="auto" w:fill="FFFFFF"/>
        </w:rPr>
        <w:t>un outil central pour l’interopérabilité sémantique des systèmes d’information</w:t>
      </w:r>
      <w:r>
        <w:rPr>
          <w:rFonts w:ascii="Arial" w:hAnsi="Arial" w:cs="Arial"/>
          <w:b/>
          <w:bCs/>
          <w:color w:val="373737"/>
          <w:sz w:val="23"/>
          <w:szCs w:val="23"/>
        </w:rPr>
        <w:t xml:space="preserve"> INRAE</w:t>
      </w:r>
    </w:p>
    <w:p w:rsidR="00F3229D" w:rsidRDefault="00F3229D" w:rsidP="00F3229D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373737"/>
          <w:sz w:val="23"/>
          <w:szCs w:val="23"/>
          <w:shd w:val="clear" w:color="auto" w:fill="FFFFFF"/>
        </w:rPr>
        <w:t>Le thésaurus INRAE est le référentiel thématique ouvert et partagé couvrant les domaines de recherche d’INRAE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avec plus de 15 000 concepts</w:t>
      </w:r>
      <w:r>
        <w:rPr>
          <w:rFonts w:ascii="Arial" w:hAnsi="Arial" w:cs="Arial"/>
          <w:color w:val="373737"/>
          <w:sz w:val="23"/>
          <w:szCs w:val="23"/>
        </w:rPr>
        <w:t xml:space="preserve">, tous identifiés de manière unique et pérenne par un URI. Chaque concept est 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>représenté par des termes préférentiels et alternatifs en français</w:t>
      </w:r>
      <w:r>
        <w:rPr>
          <w:rFonts w:ascii="Arial" w:hAnsi="Arial" w:cs="Arial"/>
          <w:color w:val="373737"/>
          <w:sz w:val="23"/>
          <w:szCs w:val="23"/>
        </w:rPr>
        <w:t>,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et 2/3 d’entre eux sont traduits en anglais</w:t>
      </w:r>
      <w:r>
        <w:rPr>
          <w:rFonts w:ascii="Arial" w:hAnsi="Arial" w:cs="Arial"/>
          <w:color w:val="373737"/>
          <w:sz w:val="23"/>
          <w:szCs w:val="23"/>
        </w:rPr>
        <w:t xml:space="preserve">. </w:t>
      </w:r>
    </w:p>
    <w:p w:rsidR="00F3229D" w:rsidRDefault="00F3229D" w:rsidP="00F3229D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373737"/>
          <w:sz w:val="23"/>
          <w:szCs w:val="23"/>
        </w:rPr>
        <w:t xml:space="preserve">Le thésaurus a été constitué dans le cadre de la création d’INRAE à partir de deux vocabulaires existants (le thésaurus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Irstea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et le référentiel mots-clés Inra). Il est composé de 12 domaines : 10 thématiques couvrant le champ des recherches de l’institut (Environnement ; Agriculture et agronomie ; Transformation des </w:t>
      </w:r>
      <w:proofErr w:type="spellStart"/>
      <w:proofErr w:type="gramStart"/>
      <w:r>
        <w:rPr>
          <w:rFonts w:ascii="Arial" w:hAnsi="Arial" w:cs="Arial"/>
          <w:color w:val="373737"/>
          <w:sz w:val="23"/>
          <w:szCs w:val="23"/>
        </w:rPr>
        <w:t>bioressources</w:t>
      </w:r>
      <w:proofErr w:type="spellEnd"/>
      <w:r>
        <w:rPr>
          <w:rFonts w:ascii="Arial" w:hAnsi="Arial" w:cs="Arial"/>
          <w:color w:val="373737"/>
          <w:sz w:val="23"/>
          <w:szCs w:val="23"/>
        </w:rPr>
        <w:t>,  etc.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) et 2 domaines transversaux (Approche scientifique ; Organismes vivants). Ces domaines sont eux-mêmes constitués de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microthésaurus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qui permettent d’envisager une exploitation modulaire du contenu. Il est aussi possible de créer des collections qui regroupent certains concepts de manière alternative pour des besoins particuliers liés à des applications, par exemple.</w:t>
      </w:r>
    </w:p>
    <w:p w:rsidR="00F3229D" w:rsidRDefault="00F3229D" w:rsidP="00F3229D">
      <w:pPr>
        <w:pStyle w:val="NormalWeb"/>
        <w:keepLines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 xml:space="preserve">Il a été conçu et est administré de manière à permettre une utilisation large au sein d’INRAE, dans l’esprit des données ouvertes, selon les principes FAIR : </w:t>
      </w:r>
    </w:p>
    <w:p w:rsidR="00F3229D" w:rsidRDefault="00F3229D" w:rsidP="00F3229D">
      <w:pPr>
        <w:pStyle w:val="NormalWeb"/>
        <w:numPr>
          <w:ilvl w:val="0"/>
          <w:numId w:val="2"/>
        </w:numPr>
        <w:spacing w:before="0" w:beforeAutospacing="0" w:after="200" w:afterAutospacing="0"/>
        <w:contextualSpacing/>
      </w:pPr>
      <w:proofErr w:type="gramStart"/>
      <w:r>
        <w:rPr>
          <w:rFonts w:ascii="Arial" w:hAnsi="Arial" w:cs="Arial"/>
          <w:color w:val="373737"/>
          <w:sz w:val="23"/>
          <w:szCs w:val="23"/>
        </w:rPr>
        <w:t>représentation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selon le standard SKOS-XL et exposé en SKOS (W3C) ; </w:t>
      </w:r>
    </w:p>
    <w:p w:rsidR="00F3229D" w:rsidRDefault="00F3229D" w:rsidP="00F3229D">
      <w:pPr>
        <w:pStyle w:val="NormalWeb"/>
        <w:numPr>
          <w:ilvl w:val="0"/>
          <w:numId w:val="2"/>
        </w:numPr>
        <w:spacing w:before="0" w:beforeAutospacing="0" w:after="200" w:afterAutospacing="0"/>
        <w:contextualSpacing/>
      </w:pPr>
      <w:proofErr w:type="gramStart"/>
      <w:r>
        <w:rPr>
          <w:rFonts w:ascii="Arial" w:hAnsi="Arial" w:cs="Arial"/>
          <w:color w:val="373737"/>
          <w:sz w:val="23"/>
          <w:szCs w:val="23"/>
        </w:rPr>
        <w:t>des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identifiants uniques et pérennes sous forme d’URI déréférencés ;</w:t>
      </w:r>
    </w:p>
    <w:p w:rsidR="00F3229D" w:rsidRDefault="00F3229D" w:rsidP="00F3229D">
      <w:pPr>
        <w:pStyle w:val="NormalWeb"/>
        <w:numPr>
          <w:ilvl w:val="0"/>
          <w:numId w:val="2"/>
        </w:numPr>
        <w:spacing w:before="0" w:beforeAutospacing="0" w:after="200" w:afterAutospacing="0"/>
        <w:contextualSpacing/>
      </w:pPr>
      <w:proofErr w:type="gramStart"/>
      <w:r>
        <w:rPr>
          <w:rFonts w:ascii="Arial" w:hAnsi="Arial" w:cs="Arial"/>
          <w:color w:val="373737"/>
          <w:sz w:val="23"/>
          <w:szCs w:val="23"/>
        </w:rPr>
        <w:t>une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interface de navigation et d’interrogation ;</w:t>
      </w:r>
    </w:p>
    <w:p w:rsidR="00F3229D" w:rsidRDefault="00F3229D" w:rsidP="00F3229D">
      <w:pPr>
        <w:pStyle w:val="NormalWeb"/>
        <w:numPr>
          <w:ilvl w:val="0"/>
          <w:numId w:val="2"/>
        </w:numPr>
        <w:spacing w:before="0" w:beforeAutospacing="0" w:after="200" w:afterAutospacing="0"/>
        <w:contextualSpacing/>
      </w:pPr>
      <w:proofErr w:type="gramStart"/>
      <w:r>
        <w:rPr>
          <w:rFonts w:ascii="Arial" w:hAnsi="Arial" w:cs="Arial"/>
          <w:color w:val="373737"/>
          <w:sz w:val="23"/>
          <w:szCs w:val="23"/>
        </w:rPr>
        <w:t>une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exposition par web services assurée par la DSI pour les applications internes ;</w:t>
      </w:r>
    </w:p>
    <w:p w:rsidR="00F3229D" w:rsidRDefault="00F3229D" w:rsidP="00F3229D">
      <w:pPr>
        <w:pStyle w:val="NormalWeb"/>
        <w:numPr>
          <w:ilvl w:val="0"/>
          <w:numId w:val="2"/>
        </w:numPr>
        <w:spacing w:before="0" w:beforeAutospacing="0" w:after="200" w:afterAutospacing="0"/>
        <w:contextualSpacing/>
      </w:pPr>
      <w:proofErr w:type="gramStart"/>
      <w:r>
        <w:rPr>
          <w:rFonts w:ascii="Arial" w:hAnsi="Arial" w:cs="Arial"/>
          <w:color w:val="373737"/>
          <w:sz w:val="23"/>
          <w:szCs w:val="23"/>
        </w:rPr>
        <w:t>des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alignements vers d’autres thésaurus et ontologies (à ce jour,  GEMET et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Agrovoc</w:t>
      </w:r>
      <w:proofErr w:type="spellEnd"/>
      <w:r>
        <w:rPr>
          <w:rFonts w:ascii="Arial" w:hAnsi="Arial" w:cs="Arial"/>
          <w:color w:val="373737"/>
          <w:sz w:val="23"/>
          <w:szCs w:val="23"/>
        </w:rPr>
        <w:t>)</w:t>
      </w:r>
      <w:r>
        <w:rPr>
          <w:rFonts w:ascii="Arial" w:hAnsi="Arial" w:cs="Arial"/>
          <w:color w:val="000000"/>
          <w:sz w:val="22"/>
          <w:szCs w:val="22"/>
        </w:rPr>
        <w:t> ;</w:t>
      </w:r>
    </w:p>
    <w:p w:rsidR="00F3229D" w:rsidRDefault="00F3229D" w:rsidP="00F3229D">
      <w:pPr>
        <w:pStyle w:val="NormalWeb"/>
        <w:numPr>
          <w:ilvl w:val="0"/>
          <w:numId w:val="2"/>
        </w:numPr>
        <w:spacing w:before="0" w:beforeAutospacing="0" w:after="200" w:afterAutospacing="0"/>
        <w:contextualSpacing/>
      </w:pPr>
      <w:proofErr w:type="gramStart"/>
      <w:r>
        <w:rPr>
          <w:rFonts w:ascii="Arial" w:hAnsi="Arial" w:cs="Arial"/>
          <w:color w:val="000000"/>
          <w:sz w:val="22"/>
          <w:szCs w:val="22"/>
        </w:rPr>
        <w:t>une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licence ouverte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Etalab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F3229D" w:rsidRDefault="00F3229D" w:rsidP="00F3229D">
      <w:pPr>
        <w:pStyle w:val="NormalWeb"/>
        <w:spacing w:before="240" w:beforeAutospacing="0" w:after="200" w:afterAutospacing="0"/>
        <w:rPr>
          <w:rFonts w:ascii="Arial" w:hAnsi="Arial" w:cs="Arial"/>
          <w:color w:val="373737"/>
          <w:sz w:val="23"/>
          <w:szCs w:val="23"/>
        </w:rPr>
      </w:pPr>
    </w:p>
    <w:p w:rsidR="00F3229D" w:rsidRDefault="00F3229D" w:rsidP="00F3229D">
      <w:pPr>
        <w:pStyle w:val="NormalWeb"/>
        <w:spacing w:before="240" w:beforeAutospacing="0" w:after="200" w:afterAutospacing="0"/>
      </w:pPr>
      <w:r>
        <w:rPr>
          <w:rFonts w:ascii="Arial" w:hAnsi="Arial" w:cs="Arial"/>
          <w:color w:val="373737"/>
          <w:sz w:val="23"/>
          <w:szCs w:val="23"/>
        </w:rPr>
        <w:t>Le</w:t>
      </w:r>
      <w:r>
        <w:rPr>
          <w:rFonts w:ascii="Arial" w:hAnsi="Arial" w:cs="Arial"/>
          <w:color w:val="373737"/>
          <w:sz w:val="23"/>
          <w:szCs w:val="23"/>
        </w:rPr>
        <w:t xml:space="preserve"> thésaurus INRAE est maintenu par un comité éditorial animé par la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DipSO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. Sa mission est d’assurer l’accessibilité, la mise à jour et la maintenance du thésaurus avec l’aide des experts scientifiques. Il reçoit et traite les demandes des utilisateurs et initie des chantiers d’enrichissement à l’aide de l’outil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Vocbench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3. Par exemple, il a déjà prévu d’ajouter 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>des définitions textuelles et des alignements vers d’autres thésaurus et ontologies développés ou utilisés par les SI INRAE</w:t>
      </w:r>
      <w:r>
        <w:rPr>
          <w:rFonts w:ascii="Arial" w:hAnsi="Arial" w:cs="Arial"/>
          <w:color w:val="373737"/>
          <w:sz w:val="23"/>
          <w:szCs w:val="23"/>
        </w:rPr>
        <w:t xml:space="preserve">. Le comité accompagne l’intégration du thésaurus dans des systèmes d’information et forme les utilisateurs à son utilisation. </w:t>
      </w:r>
    </w:p>
    <w:p w:rsidR="00F3229D" w:rsidRDefault="00F3229D" w:rsidP="00F3229D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373737"/>
          <w:sz w:val="23"/>
          <w:szCs w:val="23"/>
        </w:rPr>
        <w:t>L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>e </w:t>
      </w:r>
      <w:r>
        <w:rPr>
          <w:rFonts w:ascii="Arial" w:hAnsi="Arial" w:cs="Arial"/>
          <w:b/>
          <w:bCs/>
          <w:color w:val="373737"/>
          <w:sz w:val="23"/>
          <w:szCs w:val="23"/>
          <w:shd w:val="clear" w:color="auto" w:fill="FFFFFF"/>
        </w:rPr>
        <w:t>thésaurus INRAE a été conçu afin d’être un outil central pour l’interopérabilité sémantique des systèmes d’information de l’institut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73737"/>
          <w:sz w:val="23"/>
          <w:szCs w:val="23"/>
        </w:rPr>
        <w:t> S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es concepts peuvent être utilisés directement pour </w:t>
      </w:r>
      <w:r>
        <w:rPr>
          <w:rFonts w:ascii="Arial" w:hAnsi="Arial" w:cs="Arial"/>
          <w:b/>
          <w:bCs/>
          <w:color w:val="373737"/>
          <w:sz w:val="23"/>
          <w:szCs w:val="23"/>
          <w:shd w:val="clear" w:color="auto" w:fill="FFFFFF"/>
        </w:rPr>
        <w:t xml:space="preserve">décrire ou annoter de manière univoque et </w:t>
      </w:r>
      <w:proofErr w:type="gramStart"/>
      <w:r>
        <w:rPr>
          <w:rFonts w:ascii="Arial" w:hAnsi="Arial" w:cs="Arial"/>
          <w:b/>
          <w:bCs/>
          <w:color w:val="373737"/>
          <w:sz w:val="23"/>
          <w:szCs w:val="23"/>
          <w:shd w:val="clear" w:color="auto" w:fill="FFFFFF"/>
        </w:rPr>
        <w:t>cohérente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>  des</w:t>
      </w:r>
      <w:proofErr w:type="gramEnd"/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documents (indexation dans HAL-INRAE), des jeux de données, des pages web, des descriptions d’activités, etc. </w:t>
      </w:r>
    </w:p>
    <w:p w:rsidR="002127F2" w:rsidRDefault="00F3229D" w:rsidP="00F3229D">
      <w:pPr>
        <w:pStyle w:val="NormalWeb"/>
        <w:spacing w:before="0" w:beforeAutospacing="0" w:after="200" w:afterAutospacing="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Nous aborderons les questions liées à l’</w:t>
      </w:r>
      <w:r>
        <w:rPr>
          <w:rFonts w:ascii="Arial" w:hAnsi="Arial" w:cs="Arial"/>
          <w:b/>
          <w:bCs/>
          <w:color w:val="373737"/>
          <w:sz w:val="23"/>
          <w:szCs w:val="23"/>
        </w:rPr>
        <w:t>utilisation du thésaurus INRAE dans le cadre d’activités liées à l’ingénierie des connaissances, à la mise en œuvre d’applications et de systèmes d’informations sémantiques et aux « </w:t>
      </w:r>
      <w:proofErr w:type="spellStart"/>
      <w:r>
        <w:rPr>
          <w:rFonts w:ascii="Arial" w:hAnsi="Arial" w:cs="Arial"/>
          <w:b/>
          <w:bCs/>
          <w:color w:val="373737"/>
          <w:sz w:val="23"/>
          <w:szCs w:val="23"/>
        </w:rPr>
        <w:t>linked</w:t>
      </w:r>
      <w:proofErr w:type="spellEnd"/>
      <w:r>
        <w:rPr>
          <w:rFonts w:ascii="Arial" w:hAnsi="Arial" w:cs="Arial"/>
          <w:b/>
          <w:bCs/>
          <w:color w:val="373737"/>
          <w:sz w:val="23"/>
          <w:szCs w:val="23"/>
        </w:rPr>
        <w:t xml:space="preserve"> data »</w:t>
      </w:r>
      <w:r>
        <w:rPr>
          <w:rFonts w:ascii="Arial" w:hAnsi="Arial" w:cs="Arial"/>
          <w:color w:val="373737"/>
          <w:sz w:val="23"/>
          <w:szCs w:val="23"/>
        </w:rPr>
        <w:t> : réutilisation d’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URIs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, alignements entre ressources sémantiques, intégration dans des SI pour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sémantiser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des champs de métadonnées, créer des « data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dictionaries</w:t>
      </w:r>
      <w:proofErr w:type="spellEnd"/>
      <w:r>
        <w:rPr>
          <w:rFonts w:ascii="Arial" w:hAnsi="Arial" w:cs="Arial"/>
          <w:color w:val="373737"/>
          <w:sz w:val="23"/>
          <w:szCs w:val="23"/>
        </w:rPr>
        <w:t> », entre autres applications possibles.</w:t>
      </w:r>
    </w:p>
    <w:p w:rsidR="002F27DF" w:rsidRDefault="002F27DF" w:rsidP="00F3229D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373737"/>
          <w:sz w:val="23"/>
          <w:szCs w:val="23"/>
        </w:rPr>
        <w:t>Sonia Bravo, Magalie Weber et Sophie Aubin pour le comité éditorial.</w:t>
      </w:r>
      <w:bookmarkStart w:id="0" w:name="_GoBack"/>
      <w:bookmarkEnd w:id="0"/>
    </w:p>
    <w:sectPr w:rsidR="002F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686"/>
    <w:multiLevelType w:val="multilevel"/>
    <w:tmpl w:val="669C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954B0"/>
    <w:multiLevelType w:val="hybridMultilevel"/>
    <w:tmpl w:val="39AA7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9D"/>
    <w:rsid w:val="000623FB"/>
    <w:rsid w:val="002F27DF"/>
    <w:rsid w:val="00C200E8"/>
    <w:rsid w:val="00F3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39E3"/>
  <w15:chartTrackingRefBased/>
  <w15:docId w15:val="{47DC6BC2-1274-4932-89E7-4F30D970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data">
    <w:name w:val="docdata"/>
    <w:aliases w:val="docy,v5,25383,bqiaagaaetkaaaagproaaaotwqaabxdgaaaaaaaaaaaaaaaaaaaaaaaaaaaaaaaaaaaaaaaaaaaaaaaaaaaaaaaaaaaaaaaaaaaaaaaaaaaaaaaaaaaaaaaaaaaaaaaaaaaaaaaaaaaaaaaaaaaaaaaaaaaaaaaaaaaaaaaaaaaaaaaaaaaaaaaaaaaaaaaaaaaaaaaaaaaaaaaaaaaaaaaaaaaaaaaaaaaaaaa"/>
    <w:basedOn w:val="Normal"/>
    <w:rsid w:val="00F3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3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2681</Characters>
  <Application>Microsoft Office Word</Application>
  <DocSecurity>0</DocSecurity>
  <Lines>22</Lines>
  <Paragraphs>6</Paragraphs>
  <ScaleCrop>false</ScaleCrop>
  <Company>INRA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2021-06-01T06:58:00Z</dcterms:created>
  <dcterms:modified xsi:type="dcterms:W3CDTF">2021-06-01T07:03:00Z</dcterms:modified>
</cp:coreProperties>
</file>